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F2B1" w14:textId="77777777" w:rsidR="00F663EB" w:rsidRDefault="00B42553" w:rsidP="00832E94">
      <w:pPr>
        <w:spacing w:after="0"/>
        <w:jc w:val="center"/>
      </w:pPr>
      <w:r>
        <w:rPr>
          <w:noProof/>
        </w:rPr>
        <w:drawing>
          <wp:inline distT="0" distB="0" distL="0" distR="0" wp14:anchorId="04E2A1B8" wp14:editId="50A243C3">
            <wp:extent cx="1309890" cy="467777"/>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036" cy="486756"/>
                    </a:xfrm>
                    <a:prstGeom prst="rect">
                      <a:avLst/>
                    </a:prstGeom>
                    <a:noFill/>
                  </pic:spPr>
                </pic:pic>
              </a:graphicData>
            </a:graphic>
          </wp:inline>
        </w:drawing>
      </w:r>
    </w:p>
    <w:p w14:paraId="5ED43F93" w14:textId="77777777" w:rsidR="00B42553" w:rsidRDefault="00B42553" w:rsidP="00832E94">
      <w:pPr>
        <w:spacing w:after="0"/>
        <w:jc w:val="center"/>
      </w:pPr>
    </w:p>
    <w:p w14:paraId="4D53048E" w14:textId="104B277D" w:rsidR="00B42553" w:rsidRDefault="00B42553" w:rsidP="00832E94">
      <w:pPr>
        <w:spacing w:after="0"/>
        <w:jc w:val="center"/>
        <w:rPr>
          <w:b/>
          <w:sz w:val="28"/>
          <w:szCs w:val="28"/>
        </w:rPr>
      </w:pPr>
      <w:r w:rsidRPr="00B42553">
        <w:rPr>
          <w:b/>
          <w:sz w:val="28"/>
          <w:szCs w:val="28"/>
        </w:rPr>
        <w:t>GDPR POLICY</w:t>
      </w:r>
    </w:p>
    <w:p w14:paraId="5A2ABF6A" w14:textId="77777777" w:rsidR="00832E94" w:rsidRDefault="00832E94" w:rsidP="00832E94">
      <w:pPr>
        <w:spacing w:after="0" w:line="263" w:lineRule="auto"/>
        <w:ind w:left="-5" w:hanging="10"/>
        <w:jc w:val="both"/>
        <w:rPr>
          <w:rFonts w:ascii="Garamond" w:eastAsia="Garamond" w:hAnsi="Garamond" w:cs="Garamond"/>
          <w:b/>
          <w:color w:val="000000"/>
          <w:sz w:val="24"/>
          <w:lang w:eastAsia="en-GB"/>
        </w:rPr>
      </w:pPr>
    </w:p>
    <w:p w14:paraId="4D294589" w14:textId="0C3B4DF7" w:rsidR="00BF09D7" w:rsidRPr="00BF09D7" w:rsidRDefault="00BF09D7" w:rsidP="00832E94">
      <w:pPr>
        <w:spacing w:after="0" w:line="263" w:lineRule="auto"/>
        <w:ind w:left="-5" w:hanging="10"/>
        <w:jc w:val="both"/>
        <w:rPr>
          <w:rFonts w:ascii="Garamond" w:eastAsia="Garamond" w:hAnsi="Garamond" w:cs="Garamond"/>
          <w:b/>
          <w:color w:val="000000"/>
          <w:sz w:val="24"/>
          <w:lang w:eastAsia="en-GB"/>
        </w:rPr>
      </w:pPr>
      <w:r w:rsidRPr="00BF09D7">
        <w:rPr>
          <w:rFonts w:ascii="Garamond" w:eastAsia="Garamond" w:hAnsi="Garamond" w:cs="Garamond"/>
          <w:b/>
          <w:color w:val="000000"/>
          <w:sz w:val="24"/>
          <w:lang w:eastAsia="en-GB"/>
        </w:rPr>
        <w:t xml:space="preserve">General Statement of KMS Duties and Scope </w:t>
      </w:r>
    </w:p>
    <w:p w14:paraId="35993FDE" w14:textId="1899E60A" w:rsidR="00BF09D7" w:rsidRPr="00BF09D7" w:rsidRDefault="00BF09D7" w:rsidP="00832E94">
      <w:pPr>
        <w:spacing w:after="283" w:line="263" w:lineRule="auto"/>
        <w:ind w:left="-5" w:hanging="10"/>
        <w:jc w:val="both"/>
        <w:rPr>
          <w:rFonts w:ascii="Garamond" w:eastAsia="Garamond" w:hAnsi="Garamond" w:cs="Garamond"/>
          <w:color w:val="000000"/>
          <w:sz w:val="24"/>
          <w:lang w:eastAsia="en-GB"/>
        </w:rPr>
      </w:pPr>
      <w:r>
        <w:rPr>
          <w:rFonts w:ascii="Garamond" w:eastAsia="Garamond" w:hAnsi="Garamond" w:cs="Garamond"/>
          <w:color w:val="000000"/>
          <w:sz w:val="24"/>
          <w:lang w:eastAsia="en-GB"/>
        </w:rPr>
        <w:t>KMS</w:t>
      </w:r>
      <w:r w:rsidRPr="00BF09D7">
        <w:rPr>
          <w:rFonts w:ascii="Garamond" w:eastAsia="Garamond" w:hAnsi="Garamond" w:cs="Garamond"/>
          <w:color w:val="000000"/>
          <w:sz w:val="24"/>
          <w:lang w:eastAsia="en-GB"/>
        </w:rPr>
        <w:t xml:space="preserve"> is required to process relevant personal data regarding members of staff, applicants and customers as part of its operation and shall take all reasonable steps to do so in accordance with this Policy. </w:t>
      </w:r>
      <w:r>
        <w:rPr>
          <w:rFonts w:ascii="Garamond" w:eastAsia="Garamond" w:hAnsi="Garamond" w:cs="Garamond"/>
          <w:color w:val="000000"/>
          <w:sz w:val="24"/>
          <w:lang w:eastAsia="en-GB"/>
        </w:rPr>
        <w:t>KMS</w:t>
      </w:r>
      <w:r w:rsidRPr="00BF09D7">
        <w:rPr>
          <w:rFonts w:ascii="Garamond" w:eastAsia="Garamond" w:hAnsi="Garamond" w:cs="Garamond"/>
          <w:color w:val="000000"/>
          <w:sz w:val="24"/>
          <w:lang w:eastAsia="en-GB"/>
        </w:rPr>
        <w:t xml:space="preserve"> will ensure that all personal data is processed in compliance with The General Data Protection Regulation (GDPR) (Regulation (EU) 2016/679) adopted 27 April 2016</w:t>
      </w:r>
      <w:r>
        <w:rPr>
          <w:rFonts w:ascii="Garamond" w:eastAsia="Garamond" w:hAnsi="Garamond" w:cs="Garamond"/>
          <w:color w:val="000000"/>
          <w:sz w:val="24"/>
          <w:lang w:eastAsia="en-GB"/>
        </w:rPr>
        <w:t xml:space="preserve"> </w:t>
      </w:r>
      <w:r w:rsidRPr="00BF09D7">
        <w:rPr>
          <w:rFonts w:ascii="Garamond" w:eastAsia="Garamond" w:hAnsi="Garamond" w:cs="Garamond"/>
          <w:color w:val="000000"/>
          <w:sz w:val="24"/>
          <w:lang w:eastAsia="en-GB"/>
        </w:rPr>
        <w:t xml:space="preserve">and is actively working towards compliance with that directive. </w:t>
      </w:r>
      <w:r w:rsidR="001E6DA3">
        <w:rPr>
          <w:rFonts w:ascii="Garamond" w:eastAsia="Garamond" w:hAnsi="Garamond" w:cs="Garamond"/>
          <w:color w:val="000000"/>
          <w:sz w:val="24"/>
          <w:lang w:eastAsia="en-GB"/>
        </w:rPr>
        <w:t>This policy shall be used in conjunction with the Approved User Policy and the Privacy Notice.</w:t>
      </w:r>
    </w:p>
    <w:p w14:paraId="5333FCFE" w14:textId="77777777" w:rsidR="00BF09D7" w:rsidRPr="00BF09D7" w:rsidRDefault="00BF09D7" w:rsidP="00832E94">
      <w:pPr>
        <w:spacing w:after="0" w:line="263" w:lineRule="auto"/>
        <w:ind w:left="-5" w:hanging="10"/>
        <w:jc w:val="both"/>
        <w:rPr>
          <w:rFonts w:ascii="Garamond" w:eastAsia="Garamond" w:hAnsi="Garamond" w:cs="Garamond"/>
          <w:b/>
          <w:color w:val="000000"/>
          <w:sz w:val="24"/>
          <w:lang w:eastAsia="en-GB"/>
        </w:rPr>
      </w:pPr>
      <w:r w:rsidRPr="00BF09D7">
        <w:rPr>
          <w:rFonts w:ascii="Garamond" w:eastAsia="Garamond" w:hAnsi="Garamond" w:cs="Garamond"/>
          <w:b/>
          <w:color w:val="000000"/>
          <w:sz w:val="24"/>
          <w:lang w:eastAsia="en-GB"/>
        </w:rPr>
        <w:t xml:space="preserve">The Principles  </w:t>
      </w:r>
    </w:p>
    <w:p w14:paraId="43852F94" w14:textId="3B278EB6" w:rsidR="00BF09D7" w:rsidRPr="00BF09D7" w:rsidRDefault="00BF09D7" w:rsidP="00832E94">
      <w:pPr>
        <w:spacing w:after="4" w:line="263" w:lineRule="auto"/>
        <w:ind w:left="-5" w:hanging="10"/>
        <w:jc w:val="both"/>
        <w:rPr>
          <w:rFonts w:ascii="Garamond" w:eastAsia="Garamond" w:hAnsi="Garamond" w:cs="Garamond"/>
          <w:color w:val="000000"/>
          <w:sz w:val="24"/>
          <w:lang w:eastAsia="en-GB"/>
        </w:rPr>
      </w:pPr>
      <w:r>
        <w:rPr>
          <w:rFonts w:ascii="Garamond" w:eastAsia="Garamond" w:hAnsi="Garamond" w:cs="Garamond"/>
          <w:color w:val="000000"/>
          <w:sz w:val="24"/>
          <w:lang w:eastAsia="en-GB"/>
        </w:rPr>
        <w:t>KMS</w:t>
      </w:r>
      <w:r w:rsidRPr="00BF09D7">
        <w:rPr>
          <w:rFonts w:ascii="Garamond" w:eastAsia="Garamond" w:hAnsi="Garamond" w:cs="Garamond"/>
          <w:color w:val="000000"/>
          <w:sz w:val="24"/>
          <w:lang w:eastAsia="en-GB"/>
        </w:rPr>
        <w:t xml:space="preserve"> shall so far as is reasonably practicable comply with the </w:t>
      </w:r>
      <w:r>
        <w:rPr>
          <w:rFonts w:ascii="Garamond" w:eastAsia="Garamond" w:hAnsi="Garamond" w:cs="Garamond"/>
          <w:color w:val="000000"/>
          <w:sz w:val="24"/>
          <w:lang w:eastAsia="en-GB"/>
        </w:rPr>
        <w:t>GDPR Regulations</w:t>
      </w:r>
      <w:r w:rsidRPr="00BF09D7">
        <w:rPr>
          <w:rFonts w:ascii="Garamond" w:eastAsia="Garamond" w:hAnsi="Garamond" w:cs="Garamond"/>
          <w:color w:val="000000"/>
          <w:sz w:val="24"/>
          <w:lang w:eastAsia="en-GB"/>
        </w:rPr>
        <w:t xml:space="preserve"> to ensure all data is:  </w:t>
      </w:r>
    </w:p>
    <w:p w14:paraId="677F1EE0" w14:textId="77777777" w:rsidR="00BF09D7" w:rsidRPr="00BF09D7" w:rsidRDefault="00BF09D7" w:rsidP="00832E94">
      <w:pPr>
        <w:numPr>
          <w:ilvl w:val="0"/>
          <w:numId w:val="1"/>
        </w:numPr>
        <w:spacing w:after="6" w:line="263" w:lineRule="auto"/>
        <w:ind w:hanging="36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Fairly and lawfully processed </w:t>
      </w:r>
    </w:p>
    <w:p w14:paraId="12D0569D" w14:textId="77777777" w:rsidR="00BF09D7" w:rsidRPr="00BF09D7" w:rsidRDefault="00BF09D7" w:rsidP="00832E94">
      <w:pPr>
        <w:numPr>
          <w:ilvl w:val="0"/>
          <w:numId w:val="1"/>
        </w:numPr>
        <w:spacing w:after="8" w:line="263" w:lineRule="auto"/>
        <w:ind w:hanging="36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Processed for a lawful purpose </w:t>
      </w:r>
    </w:p>
    <w:p w14:paraId="5D977357" w14:textId="77777777" w:rsidR="00BF09D7" w:rsidRPr="00BF09D7" w:rsidRDefault="00BF09D7" w:rsidP="00832E94">
      <w:pPr>
        <w:numPr>
          <w:ilvl w:val="0"/>
          <w:numId w:val="1"/>
        </w:numPr>
        <w:spacing w:after="7" w:line="263" w:lineRule="auto"/>
        <w:ind w:hanging="36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Adequate, relevant and not excessive </w:t>
      </w:r>
    </w:p>
    <w:p w14:paraId="1630B430" w14:textId="77777777" w:rsidR="00BF09D7" w:rsidRPr="00BF09D7" w:rsidRDefault="00BF09D7" w:rsidP="00832E94">
      <w:pPr>
        <w:numPr>
          <w:ilvl w:val="0"/>
          <w:numId w:val="1"/>
        </w:numPr>
        <w:spacing w:after="6" w:line="263" w:lineRule="auto"/>
        <w:ind w:hanging="36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Accurate and up to date </w:t>
      </w:r>
    </w:p>
    <w:p w14:paraId="657D5846" w14:textId="77777777" w:rsidR="00BF09D7" w:rsidRPr="00BF09D7" w:rsidRDefault="00BF09D7" w:rsidP="00832E94">
      <w:pPr>
        <w:numPr>
          <w:ilvl w:val="0"/>
          <w:numId w:val="1"/>
        </w:numPr>
        <w:spacing w:after="5" w:line="263" w:lineRule="auto"/>
        <w:ind w:hanging="36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Not kept for longer than necessary </w:t>
      </w:r>
    </w:p>
    <w:p w14:paraId="14B0502C" w14:textId="77777777" w:rsidR="00BF09D7" w:rsidRPr="00BF09D7" w:rsidRDefault="00BF09D7" w:rsidP="00832E94">
      <w:pPr>
        <w:numPr>
          <w:ilvl w:val="0"/>
          <w:numId w:val="1"/>
        </w:numPr>
        <w:spacing w:after="14" w:line="263" w:lineRule="auto"/>
        <w:ind w:hanging="36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Processed in accordance with the data subject's rights </w:t>
      </w:r>
    </w:p>
    <w:p w14:paraId="4B005A30" w14:textId="77777777" w:rsidR="00BF09D7" w:rsidRPr="00BF09D7" w:rsidRDefault="00BF09D7" w:rsidP="00832E94">
      <w:pPr>
        <w:numPr>
          <w:ilvl w:val="0"/>
          <w:numId w:val="1"/>
        </w:numPr>
        <w:spacing w:after="11" w:line="263" w:lineRule="auto"/>
        <w:ind w:hanging="36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Secure </w:t>
      </w:r>
      <w:bookmarkStart w:id="0" w:name="_GoBack"/>
      <w:bookmarkEnd w:id="0"/>
    </w:p>
    <w:p w14:paraId="6790B1BC" w14:textId="77777777" w:rsidR="00BF09D7" w:rsidRPr="00BF09D7" w:rsidRDefault="00BF09D7" w:rsidP="00832E94">
      <w:pPr>
        <w:numPr>
          <w:ilvl w:val="0"/>
          <w:numId w:val="1"/>
        </w:numPr>
        <w:spacing w:after="3" w:line="263" w:lineRule="auto"/>
        <w:ind w:hanging="36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Not transferred to other countries without adequate protection  </w:t>
      </w:r>
    </w:p>
    <w:p w14:paraId="34FF7262" w14:textId="77777777" w:rsidR="00BF09D7" w:rsidRPr="00BF09D7" w:rsidRDefault="00BF09D7" w:rsidP="00832E94">
      <w:pPr>
        <w:spacing w:after="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 </w:t>
      </w:r>
      <w:r w:rsidRPr="00BF09D7">
        <w:rPr>
          <w:rFonts w:ascii="Garamond" w:eastAsia="Garamond" w:hAnsi="Garamond" w:cs="Garamond"/>
          <w:color w:val="000000"/>
          <w:sz w:val="24"/>
          <w:lang w:eastAsia="en-GB"/>
        </w:rPr>
        <w:tab/>
        <w:t xml:space="preserve"> </w:t>
      </w:r>
    </w:p>
    <w:p w14:paraId="6E927935" w14:textId="77777777" w:rsidR="00BF09D7" w:rsidRPr="00BF09D7" w:rsidRDefault="00BF09D7" w:rsidP="00832E94">
      <w:pPr>
        <w:spacing w:after="0" w:line="263" w:lineRule="auto"/>
        <w:ind w:left="-5" w:hanging="10"/>
        <w:jc w:val="both"/>
        <w:rPr>
          <w:rFonts w:ascii="Garamond" w:eastAsia="Garamond" w:hAnsi="Garamond" w:cs="Garamond"/>
          <w:b/>
          <w:color w:val="000000"/>
          <w:sz w:val="24"/>
          <w:lang w:eastAsia="en-GB"/>
        </w:rPr>
      </w:pPr>
      <w:r w:rsidRPr="00BF09D7">
        <w:rPr>
          <w:rFonts w:ascii="Garamond" w:eastAsia="Garamond" w:hAnsi="Garamond" w:cs="Garamond"/>
          <w:b/>
          <w:color w:val="000000"/>
          <w:sz w:val="24"/>
          <w:lang w:eastAsia="en-GB"/>
        </w:rPr>
        <w:t xml:space="preserve">Processing of Personal Data  </w:t>
      </w:r>
    </w:p>
    <w:p w14:paraId="2B9AF5B6" w14:textId="342056F9" w:rsidR="00BF09D7" w:rsidRPr="00BF09D7" w:rsidRDefault="00BF09D7" w:rsidP="00832E94">
      <w:pPr>
        <w:spacing w:after="283" w:line="263" w:lineRule="auto"/>
        <w:ind w:left="-5" w:hanging="1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Consent may be required for the processing of personal data unless processing is necessary for the performance of the contract of employment. Any information which falls under the definition of personal data and is not otherwise exempt, will remain confidential and will only be disclosed to third parties with appropriate consent.  </w:t>
      </w:r>
      <w:r>
        <w:rPr>
          <w:rFonts w:ascii="Garamond" w:eastAsia="Garamond" w:hAnsi="Garamond" w:cs="Garamond"/>
          <w:color w:val="000000"/>
          <w:sz w:val="24"/>
          <w:lang w:eastAsia="en-GB"/>
        </w:rPr>
        <w:t>KMS</w:t>
      </w:r>
      <w:r w:rsidRPr="00BF09D7">
        <w:rPr>
          <w:rFonts w:ascii="Garamond" w:eastAsia="Garamond" w:hAnsi="Garamond" w:cs="Garamond"/>
          <w:color w:val="000000"/>
          <w:sz w:val="24"/>
          <w:lang w:eastAsia="en-GB"/>
        </w:rPr>
        <w:t xml:space="preserve"> processes some personal data for direct marketing purposes, data subjects have the right to request an opt-out to these activities, which must be respected.  </w:t>
      </w:r>
    </w:p>
    <w:p w14:paraId="72D11989" w14:textId="77777777" w:rsidR="00BF09D7" w:rsidRPr="00BF09D7" w:rsidRDefault="00BF09D7" w:rsidP="00832E94">
      <w:pPr>
        <w:spacing w:after="0" w:line="263" w:lineRule="auto"/>
        <w:ind w:left="-5" w:hanging="10"/>
        <w:jc w:val="both"/>
        <w:rPr>
          <w:rFonts w:ascii="Garamond" w:eastAsia="Garamond" w:hAnsi="Garamond" w:cs="Garamond"/>
          <w:b/>
          <w:color w:val="000000"/>
          <w:sz w:val="24"/>
          <w:lang w:eastAsia="en-GB"/>
        </w:rPr>
      </w:pPr>
      <w:r w:rsidRPr="00BF09D7">
        <w:rPr>
          <w:rFonts w:ascii="Garamond" w:eastAsia="Garamond" w:hAnsi="Garamond" w:cs="Garamond"/>
          <w:b/>
          <w:color w:val="000000"/>
          <w:sz w:val="24"/>
          <w:lang w:eastAsia="en-GB"/>
        </w:rPr>
        <w:t xml:space="preserve">Sensitive Personal Data  </w:t>
      </w:r>
    </w:p>
    <w:p w14:paraId="5ACD957A" w14:textId="0C407683" w:rsidR="00BF09D7" w:rsidRPr="00BF09D7" w:rsidRDefault="00832E94" w:rsidP="00832E94">
      <w:pPr>
        <w:spacing w:after="283" w:line="263" w:lineRule="auto"/>
        <w:ind w:left="-5" w:hanging="10"/>
        <w:jc w:val="both"/>
        <w:rPr>
          <w:rFonts w:ascii="Garamond" w:eastAsia="Garamond" w:hAnsi="Garamond" w:cs="Garamond"/>
          <w:color w:val="000000"/>
          <w:sz w:val="24"/>
          <w:lang w:eastAsia="en-GB"/>
        </w:rPr>
      </w:pPr>
      <w:r>
        <w:rPr>
          <w:rFonts w:ascii="Garamond" w:eastAsia="Garamond" w:hAnsi="Garamond" w:cs="Garamond"/>
          <w:color w:val="000000"/>
          <w:sz w:val="24"/>
          <w:lang w:eastAsia="en-GB"/>
        </w:rPr>
        <w:t>KMS</w:t>
      </w:r>
      <w:r w:rsidR="00BF09D7" w:rsidRPr="00BF09D7">
        <w:rPr>
          <w:rFonts w:ascii="Garamond" w:eastAsia="Garamond" w:hAnsi="Garamond" w:cs="Garamond"/>
          <w:color w:val="000000"/>
          <w:sz w:val="24"/>
          <w:lang w:eastAsia="en-GB"/>
        </w:rPr>
        <w:t xml:space="preserve"> may, from time to time, be required to process sensitive personal data.  Sensitive personal data includes data relating to medical information, trade union membership</w:t>
      </w:r>
      <w:r>
        <w:rPr>
          <w:rFonts w:ascii="Garamond" w:eastAsia="Garamond" w:hAnsi="Garamond" w:cs="Garamond"/>
          <w:color w:val="000000"/>
          <w:sz w:val="24"/>
          <w:lang w:eastAsia="en-GB"/>
        </w:rPr>
        <w:t xml:space="preserve">, </w:t>
      </w:r>
      <w:r w:rsidR="00BF09D7" w:rsidRPr="00BF09D7">
        <w:rPr>
          <w:rFonts w:ascii="Garamond" w:eastAsia="Garamond" w:hAnsi="Garamond" w:cs="Garamond"/>
          <w:color w:val="000000"/>
          <w:sz w:val="24"/>
          <w:lang w:eastAsia="en-GB"/>
        </w:rPr>
        <w:t xml:space="preserve">criminal records and proceedings.  </w:t>
      </w:r>
    </w:p>
    <w:p w14:paraId="4D9E0FD4" w14:textId="77777777" w:rsidR="00BF09D7" w:rsidRPr="00BF09D7" w:rsidRDefault="00BF09D7" w:rsidP="00832E94">
      <w:pPr>
        <w:spacing w:after="0" w:line="263" w:lineRule="auto"/>
        <w:ind w:left="-5" w:hanging="10"/>
        <w:jc w:val="both"/>
        <w:rPr>
          <w:rFonts w:ascii="Garamond" w:eastAsia="Garamond" w:hAnsi="Garamond" w:cs="Garamond"/>
          <w:b/>
          <w:color w:val="000000"/>
          <w:sz w:val="24"/>
          <w:lang w:eastAsia="en-GB"/>
        </w:rPr>
      </w:pPr>
      <w:r w:rsidRPr="00BF09D7">
        <w:rPr>
          <w:rFonts w:ascii="Garamond" w:eastAsia="Garamond" w:hAnsi="Garamond" w:cs="Garamond"/>
          <w:b/>
          <w:color w:val="000000"/>
          <w:sz w:val="24"/>
          <w:lang w:eastAsia="en-GB"/>
        </w:rPr>
        <w:t xml:space="preserve">Accuracy  </w:t>
      </w:r>
    </w:p>
    <w:p w14:paraId="43D2039E" w14:textId="26D81189" w:rsidR="00BF09D7" w:rsidRPr="00BF09D7" w:rsidRDefault="00832E94" w:rsidP="00832E94">
      <w:pPr>
        <w:spacing w:after="271" w:line="272" w:lineRule="auto"/>
        <w:ind w:left="-5" w:right="-15" w:hanging="10"/>
        <w:jc w:val="both"/>
        <w:rPr>
          <w:rFonts w:ascii="Garamond" w:eastAsia="Garamond" w:hAnsi="Garamond" w:cs="Garamond"/>
          <w:color w:val="000000"/>
          <w:sz w:val="24"/>
          <w:lang w:eastAsia="en-GB"/>
        </w:rPr>
      </w:pPr>
      <w:r>
        <w:rPr>
          <w:rFonts w:ascii="Garamond" w:eastAsia="Garamond" w:hAnsi="Garamond" w:cs="Garamond"/>
          <w:color w:val="000000"/>
          <w:sz w:val="24"/>
          <w:lang w:eastAsia="en-GB"/>
        </w:rPr>
        <w:t>KMS</w:t>
      </w:r>
      <w:r w:rsidR="00BF09D7" w:rsidRPr="00BF09D7">
        <w:rPr>
          <w:rFonts w:ascii="Garamond" w:eastAsia="Garamond" w:hAnsi="Garamond" w:cs="Garamond"/>
          <w:color w:val="000000"/>
          <w:sz w:val="24"/>
          <w:lang w:eastAsia="en-GB"/>
        </w:rPr>
        <w:t xml:space="preserve"> will endeavour to ensure that all personal data held in relation to all data subjects is accurate.  Data subjects must notify the data processor of any changes to information held about them.  Data subjects have the right in some circumstances to request that inaccurate information about them is erased. This does not apply in all cases, for example, where records of mistakes or corrections are kept, or records which must be kept in the interests of all parties to which they apply.  </w:t>
      </w:r>
    </w:p>
    <w:p w14:paraId="6AE1A8CD" w14:textId="77777777" w:rsidR="00BF09D7" w:rsidRPr="00BF09D7" w:rsidRDefault="00BF09D7" w:rsidP="00832E94">
      <w:pPr>
        <w:spacing w:after="0" w:line="263" w:lineRule="auto"/>
        <w:ind w:left="-5" w:hanging="10"/>
        <w:jc w:val="both"/>
        <w:rPr>
          <w:rFonts w:ascii="Garamond" w:eastAsia="Garamond" w:hAnsi="Garamond" w:cs="Garamond"/>
          <w:b/>
          <w:color w:val="000000"/>
          <w:sz w:val="24"/>
          <w:lang w:eastAsia="en-GB"/>
        </w:rPr>
      </w:pPr>
      <w:r w:rsidRPr="00BF09D7">
        <w:rPr>
          <w:rFonts w:ascii="Garamond" w:eastAsia="Garamond" w:hAnsi="Garamond" w:cs="Garamond"/>
          <w:b/>
          <w:color w:val="000000"/>
          <w:sz w:val="24"/>
          <w:lang w:eastAsia="en-GB"/>
        </w:rPr>
        <w:t xml:space="preserve">Enforcement  </w:t>
      </w:r>
    </w:p>
    <w:p w14:paraId="6E15A998" w14:textId="29BB9EF9" w:rsidR="00BF09D7" w:rsidRPr="00BF09D7" w:rsidRDefault="00BF09D7" w:rsidP="00832E94">
      <w:pPr>
        <w:spacing w:after="283" w:line="263" w:lineRule="auto"/>
        <w:ind w:left="-5" w:hanging="10"/>
        <w:jc w:val="both"/>
        <w:rPr>
          <w:rFonts w:ascii="Garamond" w:eastAsia="Garamond" w:hAnsi="Garamond" w:cs="Garamond"/>
          <w:color w:val="000000"/>
          <w:sz w:val="24"/>
          <w:lang w:eastAsia="en-GB"/>
        </w:rPr>
      </w:pPr>
      <w:r>
        <w:rPr>
          <w:rFonts w:ascii="Garamond" w:eastAsia="Garamond" w:hAnsi="Garamond" w:cs="Garamond"/>
          <w:color w:val="000000"/>
          <w:sz w:val="24"/>
          <w:lang w:eastAsia="en-GB"/>
        </w:rPr>
        <w:t>KMS will take disciplinary action against any individual(s) who knowingly and wantonly breach the GDPR Policy.</w:t>
      </w:r>
      <w:r w:rsidRPr="00BF09D7">
        <w:rPr>
          <w:rFonts w:ascii="Garamond" w:eastAsia="Garamond" w:hAnsi="Garamond" w:cs="Garamond"/>
          <w:color w:val="000000"/>
          <w:sz w:val="24"/>
          <w:lang w:eastAsia="en-GB"/>
        </w:rPr>
        <w:t xml:space="preserve"> </w:t>
      </w:r>
      <w:r w:rsidR="00832E94">
        <w:rPr>
          <w:rFonts w:ascii="Garamond" w:eastAsia="Garamond" w:hAnsi="Garamond" w:cs="Garamond"/>
          <w:color w:val="000000"/>
          <w:sz w:val="24"/>
          <w:lang w:eastAsia="en-GB"/>
        </w:rPr>
        <w:t>Any loss</w:t>
      </w:r>
      <w:r w:rsidR="0011658A">
        <w:rPr>
          <w:rFonts w:ascii="Garamond" w:eastAsia="Garamond" w:hAnsi="Garamond" w:cs="Garamond"/>
          <w:color w:val="000000"/>
          <w:sz w:val="24"/>
          <w:lang w:eastAsia="en-GB"/>
        </w:rPr>
        <w:t>/ breach</w:t>
      </w:r>
      <w:r w:rsidR="00832E94">
        <w:rPr>
          <w:rFonts w:ascii="Garamond" w:eastAsia="Garamond" w:hAnsi="Garamond" w:cs="Garamond"/>
          <w:color w:val="000000"/>
          <w:sz w:val="24"/>
          <w:lang w:eastAsia="en-GB"/>
        </w:rPr>
        <w:t xml:space="preserve"> of data will be reported to the Data Security Manager (DCM) who shall report to the Information Commissioner’s Office (ICO). </w:t>
      </w:r>
    </w:p>
    <w:p w14:paraId="5018266D" w14:textId="77777777" w:rsidR="00BF09D7" w:rsidRPr="00BF09D7" w:rsidRDefault="00BF09D7" w:rsidP="00832E94">
      <w:pPr>
        <w:spacing w:after="0" w:line="263" w:lineRule="auto"/>
        <w:ind w:left="-5" w:hanging="10"/>
        <w:jc w:val="both"/>
        <w:rPr>
          <w:rFonts w:ascii="Garamond" w:eastAsia="Garamond" w:hAnsi="Garamond" w:cs="Garamond"/>
          <w:b/>
          <w:color w:val="000000"/>
          <w:sz w:val="24"/>
          <w:lang w:eastAsia="en-GB"/>
        </w:rPr>
      </w:pPr>
      <w:r w:rsidRPr="00BF09D7">
        <w:rPr>
          <w:rFonts w:ascii="Garamond" w:eastAsia="Garamond" w:hAnsi="Garamond" w:cs="Garamond"/>
          <w:b/>
          <w:color w:val="000000"/>
          <w:sz w:val="24"/>
          <w:lang w:eastAsia="en-GB"/>
        </w:rPr>
        <w:t xml:space="preserve">Data Security </w:t>
      </w:r>
    </w:p>
    <w:p w14:paraId="5CCBD361" w14:textId="6E0FA9A8" w:rsidR="00BF09D7" w:rsidRPr="00BF09D7" w:rsidRDefault="00BF09D7" w:rsidP="00832E94">
      <w:pPr>
        <w:spacing w:after="283" w:line="263" w:lineRule="auto"/>
        <w:ind w:left="-5" w:hanging="10"/>
        <w:jc w:val="both"/>
        <w:rPr>
          <w:rFonts w:ascii="Garamond" w:eastAsia="Garamond" w:hAnsi="Garamond" w:cs="Garamond"/>
          <w:color w:val="000000"/>
          <w:sz w:val="24"/>
          <w:lang w:eastAsia="en-GB"/>
        </w:rPr>
      </w:pPr>
      <w:r>
        <w:rPr>
          <w:rFonts w:ascii="Garamond" w:eastAsia="Garamond" w:hAnsi="Garamond" w:cs="Garamond"/>
          <w:color w:val="000000"/>
          <w:sz w:val="24"/>
          <w:lang w:eastAsia="en-GB"/>
        </w:rPr>
        <w:t>KMS</w:t>
      </w:r>
      <w:r w:rsidRPr="00BF09D7">
        <w:rPr>
          <w:rFonts w:ascii="Garamond" w:eastAsia="Garamond" w:hAnsi="Garamond" w:cs="Garamond"/>
          <w:color w:val="000000"/>
          <w:sz w:val="24"/>
          <w:lang w:eastAsia="en-GB"/>
        </w:rPr>
        <w:t xml:space="preserve"> will take appropriate technical and organisational steps to ensure the security of personal data. All staff will be made aware of this policy and their duties under the Act.</w:t>
      </w:r>
      <w:r w:rsidR="00832E94">
        <w:rPr>
          <w:rFonts w:ascii="Garamond" w:eastAsia="Garamond" w:hAnsi="Garamond" w:cs="Garamond"/>
          <w:color w:val="000000"/>
          <w:sz w:val="24"/>
          <w:lang w:eastAsia="en-GB"/>
        </w:rPr>
        <w:t xml:space="preserve"> </w:t>
      </w:r>
      <w:r>
        <w:rPr>
          <w:rFonts w:ascii="Garamond" w:eastAsia="Garamond" w:hAnsi="Garamond" w:cs="Garamond"/>
          <w:color w:val="000000"/>
          <w:sz w:val="24"/>
          <w:lang w:eastAsia="en-GB"/>
        </w:rPr>
        <w:t>KMS staff</w:t>
      </w:r>
      <w:r w:rsidRPr="00BF09D7">
        <w:rPr>
          <w:rFonts w:ascii="Garamond" w:eastAsia="Garamond" w:hAnsi="Garamond" w:cs="Garamond"/>
          <w:color w:val="000000"/>
          <w:sz w:val="24"/>
          <w:lang w:eastAsia="en-GB"/>
        </w:rPr>
        <w:t xml:space="preserve"> are required to respect the personal data </w:t>
      </w:r>
      <w:r w:rsidRPr="00BF09D7">
        <w:rPr>
          <w:rFonts w:ascii="Garamond" w:eastAsia="Garamond" w:hAnsi="Garamond" w:cs="Garamond"/>
          <w:color w:val="000000"/>
          <w:sz w:val="24"/>
          <w:lang w:eastAsia="en-GB"/>
        </w:rPr>
        <w:lastRenderedPageBreak/>
        <w:t xml:space="preserve">and privacy of others and must ensure that appropriate protection and security measures are taken against unlawful or unauthorised processing of personal data, and against the accidental loss of, or damage to all personal data. </w:t>
      </w:r>
    </w:p>
    <w:p w14:paraId="4D9D252D" w14:textId="63F0AE7B" w:rsidR="00BF09D7" w:rsidRPr="00BF09D7" w:rsidRDefault="00BF09D7" w:rsidP="00832E94">
      <w:pPr>
        <w:spacing w:after="0" w:line="263" w:lineRule="auto"/>
        <w:ind w:left="-5" w:hanging="10"/>
        <w:jc w:val="both"/>
        <w:rPr>
          <w:rFonts w:ascii="Garamond" w:eastAsia="Garamond" w:hAnsi="Garamond" w:cs="Garamond"/>
          <w:color w:val="000000"/>
          <w:sz w:val="24"/>
          <w:lang w:eastAsia="en-GB"/>
        </w:rPr>
      </w:pPr>
      <w:r w:rsidRPr="00BF09D7">
        <w:rPr>
          <w:rFonts w:ascii="Garamond" w:eastAsia="Garamond" w:hAnsi="Garamond" w:cs="Garamond"/>
          <w:b/>
          <w:color w:val="000000"/>
          <w:sz w:val="24"/>
          <w:lang w:eastAsia="en-GB"/>
        </w:rPr>
        <w:t xml:space="preserve">External Processors </w:t>
      </w:r>
      <w:r w:rsidRPr="00BF09D7">
        <w:rPr>
          <w:rFonts w:ascii="Garamond" w:eastAsia="Garamond" w:hAnsi="Garamond" w:cs="Garamond"/>
          <w:color w:val="000000"/>
          <w:sz w:val="24"/>
          <w:lang w:eastAsia="en-GB"/>
        </w:rPr>
        <w:t xml:space="preserve"> </w:t>
      </w:r>
    </w:p>
    <w:p w14:paraId="20A8031F" w14:textId="00FF4388" w:rsidR="00BF09D7" w:rsidRPr="00BF09D7" w:rsidRDefault="00832E94" w:rsidP="00832E94">
      <w:pPr>
        <w:spacing w:after="283" w:line="263" w:lineRule="auto"/>
        <w:ind w:left="-5" w:hanging="10"/>
        <w:jc w:val="both"/>
        <w:rPr>
          <w:rFonts w:ascii="Garamond" w:eastAsia="Garamond" w:hAnsi="Garamond" w:cs="Garamond"/>
          <w:color w:val="000000"/>
          <w:sz w:val="24"/>
          <w:lang w:eastAsia="en-GB"/>
        </w:rPr>
      </w:pPr>
      <w:r>
        <w:rPr>
          <w:rFonts w:ascii="Garamond" w:eastAsia="Garamond" w:hAnsi="Garamond" w:cs="Garamond"/>
          <w:color w:val="000000"/>
          <w:sz w:val="24"/>
          <w:lang w:eastAsia="en-GB"/>
        </w:rPr>
        <w:t>KMS</w:t>
      </w:r>
      <w:r w:rsidR="00BF09D7" w:rsidRPr="00BF09D7">
        <w:rPr>
          <w:rFonts w:ascii="Garamond" w:eastAsia="Garamond" w:hAnsi="Garamond" w:cs="Garamond"/>
          <w:color w:val="000000"/>
          <w:sz w:val="24"/>
          <w:lang w:eastAsia="en-GB"/>
        </w:rPr>
        <w:t xml:space="preserve"> </w:t>
      </w:r>
      <w:r>
        <w:rPr>
          <w:rFonts w:ascii="Garamond" w:eastAsia="Garamond" w:hAnsi="Garamond" w:cs="Garamond"/>
          <w:color w:val="000000"/>
          <w:sz w:val="24"/>
          <w:lang w:eastAsia="en-GB"/>
        </w:rPr>
        <w:t>will</w:t>
      </w:r>
      <w:r w:rsidR="00BF09D7" w:rsidRPr="00BF09D7">
        <w:rPr>
          <w:rFonts w:ascii="Garamond" w:eastAsia="Garamond" w:hAnsi="Garamond" w:cs="Garamond"/>
          <w:color w:val="000000"/>
          <w:sz w:val="24"/>
          <w:lang w:eastAsia="en-GB"/>
        </w:rPr>
        <w:t xml:space="preserve"> ensure that data processed by external processors, for example, service providers, Cloud services including storage, web sites etc. are compliant with this policy and the relevant legislation. </w:t>
      </w:r>
    </w:p>
    <w:p w14:paraId="688C7295" w14:textId="77777777" w:rsidR="00BF09D7" w:rsidRPr="00BF09D7" w:rsidRDefault="00BF09D7" w:rsidP="00832E94">
      <w:pPr>
        <w:spacing w:after="0" w:line="263" w:lineRule="auto"/>
        <w:ind w:left="-5" w:hanging="10"/>
        <w:jc w:val="both"/>
        <w:rPr>
          <w:rFonts w:ascii="Garamond" w:eastAsia="Garamond" w:hAnsi="Garamond" w:cs="Garamond"/>
          <w:b/>
          <w:color w:val="000000"/>
          <w:sz w:val="24"/>
          <w:lang w:eastAsia="en-GB"/>
        </w:rPr>
      </w:pPr>
      <w:r w:rsidRPr="00BF09D7">
        <w:rPr>
          <w:rFonts w:ascii="Garamond" w:eastAsia="Garamond" w:hAnsi="Garamond" w:cs="Garamond"/>
          <w:b/>
          <w:color w:val="000000"/>
          <w:sz w:val="24"/>
          <w:lang w:eastAsia="en-GB"/>
        </w:rPr>
        <w:t xml:space="preserve">Secure Destruction </w:t>
      </w:r>
    </w:p>
    <w:p w14:paraId="6F14B26A" w14:textId="46887C21" w:rsidR="00BF09D7" w:rsidRPr="00BF09D7" w:rsidRDefault="00BF09D7" w:rsidP="00832E94">
      <w:pPr>
        <w:spacing w:after="283" w:line="263" w:lineRule="auto"/>
        <w:ind w:left="-5" w:hanging="10"/>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When data held in accordance with this policy is destroyed, it </w:t>
      </w:r>
      <w:r w:rsidR="00832E94">
        <w:rPr>
          <w:rFonts w:ascii="Garamond" w:eastAsia="Garamond" w:hAnsi="Garamond" w:cs="Garamond"/>
          <w:color w:val="000000"/>
          <w:sz w:val="24"/>
          <w:lang w:eastAsia="en-GB"/>
        </w:rPr>
        <w:t>will</w:t>
      </w:r>
      <w:r w:rsidRPr="00BF09D7">
        <w:rPr>
          <w:rFonts w:ascii="Garamond" w:eastAsia="Garamond" w:hAnsi="Garamond" w:cs="Garamond"/>
          <w:color w:val="000000"/>
          <w:sz w:val="24"/>
          <w:lang w:eastAsia="en-GB"/>
        </w:rPr>
        <w:t xml:space="preserve"> be destroyed securely in accordance with best practice at the time of destruction. </w:t>
      </w:r>
    </w:p>
    <w:p w14:paraId="080D891E" w14:textId="77777777" w:rsidR="00BF09D7" w:rsidRPr="00BF09D7" w:rsidRDefault="00BF09D7" w:rsidP="00832E94">
      <w:pPr>
        <w:spacing w:after="0" w:line="263" w:lineRule="auto"/>
        <w:ind w:left="-5" w:hanging="10"/>
        <w:jc w:val="both"/>
        <w:rPr>
          <w:rFonts w:ascii="Garamond" w:eastAsia="Garamond" w:hAnsi="Garamond" w:cs="Garamond"/>
          <w:b/>
          <w:color w:val="000000"/>
          <w:sz w:val="24"/>
          <w:lang w:eastAsia="en-GB"/>
        </w:rPr>
      </w:pPr>
      <w:r w:rsidRPr="00BF09D7">
        <w:rPr>
          <w:rFonts w:ascii="Garamond" w:eastAsia="Garamond" w:hAnsi="Garamond" w:cs="Garamond"/>
          <w:b/>
          <w:color w:val="000000"/>
          <w:sz w:val="24"/>
          <w:lang w:eastAsia="en-GB"/>
        </w:rPr>
        <w:t xml:space="preserve">Retention of Data </w:t>
      </w:r>
    </w:p>
    <w:p w14:paraId="05F36AE5" w14:textId="4519FE35" w:rsidR="00BF09D7" w:rsidRPr="00BF09D7" w:rsidRDefault="00832E94" w:rsidP="00832E94">
      <w:pPr>
        <w:spacing w:after="283" w:line="263" w:lineRule="auto"/>
        <w:ind w:left="-5" w:hanging="10"/>
        <w:jc w:val="both"/>
        <w:rPr>
          <w:rFonts w:ascii="Garamond" w:eastAsia="Garamond" w:hAnsi="Garamond" w:cs="Garamond"/>
          <w:color w:val="000000"/>
          <w:sz w:val="24"/>
          <w:lang w:eastAsia="en-GB"/>
        </w:rPr>
      </w:pPr>
      <w:r>
        <w:rPr>
          <w:rFonts w:ascii="Garamond" w:eastAsia="Garamond" w:hAnsi="Garamond" w:cs="Garamond"/>
          <w:color w:val="000000"/>
          <w:sz w:val="24"/>
          <w:lang w:eastAsia="en-GB"/>
        </w:rPr>
        <w:t>KMS</w:t>
      </w:r>
      <w:r w:rsidR="00BF09D7" w:rsidRPr="00BF09D7">
        <w:rPr>
          <w:rFonts w:ascii="Garamond" w:eastAsia="Garamond" w:hAnsi="Garamond" w:cs="Garamond"/>
          <w:color w:val="000000"/>
          <w:sz w:val="24"/>
          <w:lang w:eastAsia="en-GB"/>
        </w:rPr>
        <w:t xml:space="preserve"> may retain data for differing periods of time for different purposes as required by statute or best practices, individual departments incorporate these retention times into the processes and manuals. Other statutory obligations, legal processes and enquiries may also necessitate the retention of certain data. </w:t>
      </w:r>
      <w:r>
        <w:rPr>
          <w:rFonts w:ascii="Garamond" w:eastAsia="Garamond" w:hAnsi="Garamond" w:cs="Garamond"/>
          <w:color w:val="000000"/>
          <w:sz w:val="24"/>
          <w:lang w:eastAsia="en-GB"/>
        </w:rPr>
        <w:t>KMS</w:t>
      </w:r>
      <w:r w:rsidR="00BF09D7" w:rsidRPr="00BF09D7">
        <w:rPr>
          <w:rFonts w:ascii="Garamond" w:eastAsia="Garamond" w:hAnsi="Garamond" w:cs="Garamond"/>
          <w:color w:val="000000"/>
          <w:sz w:val="24"/>
          <w:lang w:eastAsia="en-GB"/>
        </w:rPr>
        <w:t xml:space="preserve"> may store some data such as </w:t>
      </w:r>
      <w:r>
        <w:rPr>
          <w:rFonts w:ascii="Garamond" w:eastAsia="Garamond" w:hAnsi="Garamond" w:cs="Garamond"/>
          <w:color w:val="000000"/>
          <w:sz w:val="24"/>
          <w:lang w:eastAsia="en-GB"/>
        </w:rPr>
        <w:t>Health and Safety and other data</w:t>
      </w:r>
      <w:r w:rsidR="00BF09D7" w:rsidRPr="00BF09D7">
        <w:rPr>
          <w:rFonts w:ascii="Garamond" w:eastAsia="Garamond" w:hAnsi="Garamond" w:cs="Garamond"/>
          <w:color w:val="000000"/>
          <w:sz w:val="24"/>
          <w:lang w:eastAsia="en-GB"/>
        </w:rPr>
        <w:t xml:space="preserve"> indefinitely in its archive</w:t>
      </w:r>
      <w:r>
        <w:rPr>
          <w:rFonts w:ascii="Garamond" w:eastAsia="Garamond" w:hAnsi="Garamond" w:cs="Garamond"/>
          <w:color w:val="000000"/>
          <w:sz w:val="24"/>
          <w:lang w:eastAsia="en-GB"/>
        </w:rPr>
        <w:t xml:space="preserve"> to comply with legislation</w:t>
      </w:r>
      <w:r w:rsidR="00BF09D7" w:rsidRPr="00BF09D7">
        <w:rPr>
          <w:rFonts w:ascii="Garamond" w:eastAsia="Garamond" w:hAnsi="Garamond" w:cs="Garamond"/>
          <w:color w:val="000000"/>
          <w:sz w:val="24"/>
          <w:lang w:eastAsia="en-GB"/>
        </w:rPr>
        <w:t xml:space="preserve">. </w:t>
      </w:r>
    </w:p>
    <w:p w14:paraId="12652D5C" w14:textId="7AD42137" w:rsidR="00BF09D7" w:rsidRPr="00BF09D7" w:rsidRDefault="00BF09D7" w:rsidP="00832E94">
      <w:pPr>
        <w:spacing w:after="0"/>
        <w:jc w:val="both"/>
        <w:rPr>
          <w:rFonts w:ascii="Garamond" w:eastAsia="Garamond" w:hAnsi="Garamond" w:cs="Garamond"/>
          <w:color w:val="000000"/>
          <w:sz w:val="24"/>
          <w:lang w:eastAsia="en-GB"/>
        </w:rPr>
      </w:pPr>
      <w:r w:rsidRPr="00BF09D7">
        <w:rPr>
          <w:rFonts w:ascii="Garamond" w:eastAsia="Garamond" w:hAnsi="Garamond" w:cs="Garamond"/>
          <w:b/>
          <w:color w:val="000000"/>
          <w:sz w:val="24"/>
          <w:lang w:eastAsia="en-GB"/>
        </w:rPr>
        <w:t xml:space="preserve">CCTV </w:t>
      </w:r>
      <w:r w:rsidRPr="00BF09D7">
        <w:rPr>
          <w:rFonts w:ascii="Garamond" w:eastAsia="Garamond" w:hAnsi="Garamond" w:cs="Garamond"/>
          <w:color w:val="000000"/>
          <w:sz w:val="24"/>
          <w:lang w:eastAsia="en-GB"/>
        </w:rPr>
        <w:t xml:space="preserve"> </w:t>
      </w:r>
    </w:p>
    <w:p w14:paraId="4E89E196" w14:textId="6A3CD750" w:rsidR="00BF09D7" w:rsidRPr="00BF09D7" w:rsidRDefault="00832E94" w:rsidP="00832E94">
      <w:pPr>
        <w:spacing w:after="1" w:line="263" w:lineRule="auto"/>
        <w:ind w:left="-5" w:hanging="10"/>
        <w:jc w:val="both"/>
        <w:rPr>
          <w:rFonts w:ascii="Garamond" w:eastAsia="Garamond" w:hAnsi="Garamond" w:cs="Garamond"/>
          <w:color w:val="000000"/>
          <w:sz w:val="24"/>
          <w:lang w:eastAsia="en-GB"/>
        </w:rPr>
      </w:pPr>
      <w:r>
        <w:rPr>
          <w:rFonts w:ascii="Garamond" w:eastAsia="Garamond" w:hAnsi="Garamond" w:cs="Garamond"/>
          <w:color w:val="000000"/>
          <w:sz w:val="24"/>
          <w:lang w:eastAsia="en-GB"/>
        </w:rPr>
        <w:t>KMS</w:t>
      </w:r>
      <w:r w:rsidR="00BF09D7" w:rsidRPr="00BF09D7">
        <w:rPr>
          <w:rFonts w:ascii="Garamond" w:eastAsia="Garamond" w:hAnsi="Garamond" w:cs="Garamond"/>
          <w:color w:val="000000"/>
          <w:sz w:val="24"/>
          <w:lang w:eastAsia="en-GB"/>
        </w:rPr>
        <w:t xml:space="preserve"> owns and operates a CCTV network for the purposes of crime prevention and </w:t>
      </w:r>
      <w:r w:rsidR="00291EE6" w:rsidRPr="00BF09D7">
        <w:rPr>
          <w:rFonts w:ascii="Garamond" w:eastAsia="Garamond" w:hAnsi="Garamond" w:cs="Garamond"/>
          <w:color w:val="000000"/>
          <w:sz w:val="24"/>
          <w:lang w:eastAsia="en-GB"/>
        </w:rPr>
        <w:t>detection and</w:t>
      </w:r>
      <w:r w:rsidR="00BF09D7" w:rsidRPr="00BF09D7">
        <w:rPr>
          <w:rFonts w:ascii="Garamond" w:eastAsia="Garamond" w:hAnsi="Garamond" w:cs="Garamond"/>
          <w:color w:val="000000"/>
          <w:sz w:val="24"/>
          <w:lang w:eastAsia="en-GB"/>
        </w:rPr>
        <w:t xml:space="preserve"> </w:t>
      </w:r>
      <w:r w:rsidR="00291EE6">
        <w:rPr>
          <w:rFonts w:ascii="Garamond" w:eastAsia="Garamond" w:hAnsi="Garamond" w:cs="Garamond"/>
          <w:color w:val="000000"/>
          <w:sz w:val="24"/>
          <w:lang w:eastAsia="en-GB"/>
        </w:rPr>
        <w:t>s</w:t>
      </w:r>
      <w:r w:rsidR="00BF09D7" w:rsidRPr="00BF09D7">
        <w:rPr>
          <w:rFonts w:ascii="Garamond" w:eastAsia="Garamond" w:hAnsi="Garamond" w:cs="Garamond"/>
          <w:color w:val="000000"/>
          <w:sz w:val="24"/>
          <w:lang w:eastAsia="en-GB"/>
        </w:rPr>
        <w:t xml:space="preserve">afeguarding.  </w:t>
      </w:r>
    </w:p>
    <w:p w14:paraId="7DAEB708" w14:textId="37C49956" w:rsidR="00BF09D7" w:rsidRPr="00BF09D7" w:rsidRDefault="00BF09D7" w:rsidP="00832E94">
      <w:pPr>
        <w:spacing w:after="8"/>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Where a data subject can be identified, images </w:t>
      </w:r>
      <w:r w:rsidR="00832E94">
        <w:rPr>
          <w:rFonts w:ascii="Garamond" w:eastAsia="Garamond" w:hAnsi="Garamond" w:cs="Garamond"/>
          <w:color w:val="000000"/>
          <w:sz w:val="24"/>
          <w:lang w:eastAsia="en-GB"/>
        </w:rPr>
        <w:t xml:space="preserve">will </w:t>
      </w:r>
      <w:r w:rsidRPr="00BF09D7">
        <w:rPr>
          <w:rFonts w:ascii="Garamond" w:eastAsia="Garamond" w:hAnsi="Garamond" w:cs="Garamond"/>
          <w:color w:val="000000"/>
          <w:sz w:val="24"/>
          <w:lang w:eastAsia="en-GB"/>
        </w:rPr>
        <w:t xml:space="preserve">be processed as personal data. </w:t>
      </w:r>
    </w:p>
    <w:p w14:paraId="32B0A857" w14:textId="77777777" w:rsidR="00BF09D7" w:rsidRPr="00BF09D7" w:rsidRDefault="00BF09D7" w:rsidP="00832E94">
      <w:pPr>
        <w:spacing w:after="6"/>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 </w:t>
      </w:r>
    </w:p>
    <w:p w14:paraId="3E36E3F4" w14:textId="77777777" w:rsidR="00BF09D7" w:rsidRPr="00BF09D7" w:rsidRDefault="00BF09D7" w:rsidP="00832E94">
      <w:pPr>
        <w:spacing w:after="8"/>
        <w:jc w:val="both"/>
        <w:rPr>
          <w:rFonts w:ascii="Garamond" w:eastAsia="Garamond" w:hAnsi="Garamond" w:cs="Garamond"/>
          <w:color w:val="000000"/>
          <w:sz w:val="24"/>
          <w:lang w:eastAsia="en-GB"/>
        </w:rPr>
      </w:pPr>
      <w:r w:rsidRPr="00BF09D7">
        <w:rPr>
          <w:rFonts w:ascii="Garamond" w:eastAsia="Garamond" w:hAnsi="Garamond" w:cs="Garamond"/>
          <w:color w:val="000000"/>
          <w:sz w:val="24"/>
          <w:lang w:eastAsia="en-GB"/>
        </w:rPr>
        <w:t xml:space="preserve"> </w:t>
      </w:r>
    </w:p>
    <w:tbl>
      <w:tblPr>
        <w:tblStyle w:val="TableGrid"/>
        <w:tblW w:w="0" w:type="auto"/>
        <w:tblLook w:val="04A0" w:firstRow="1" w:lastRow="0" w:firstColumn="1" w:lastColumn="0" w:noHBand="0" w:noVBand="1"/>
      </w:tblPr>
      <w:tblGrid>
        <w:gridCol w:w="2122"/>
        <w:gridCol w:w="3402"/>
        <w:gridCol w:w="4932"/>
      </w:tblGrid>
      <w:tr w:rsidR="00BF1A91" w14:paraId="3583B650" w14:textId="77777777" w:rsidTr="00510B8F">
        <w:trPr>
          <w:trHeight w:val="454"/>
        </w:trPr>
        <w:tc>
          <w:tcPr>
            <w:tcW w:w="2122" w:type="dxa"/>
          </w:tcPr>
          <w:p w14:paraId="23DD7EA6" w14:textId="28622BF0" w:rsidR="00BF1A91" w:rsidRPr="00BF1A91" w:rsidRDefault="00BF1A91" w:rsidP="00BF1A91">
            <w:pPr>
              <w:jc w:val="center"/>
              <w:rPr>
                <w:b/>
              </w:rPr>
            </w:pPr>
            <w:r w:rsidRPr="00BF1A91">
              <w:rPr>
                <w:b/>
              </w:rPr>
              <w:t>DATE</w:t>
            </w:r>
          </w:p>
        </w:tc>
        <w:tc>
          <w:tcPr>
            <w:tcW w:w="3402" w:type="dxa"/>
          </w:tcPr>
          <w:p w14:paraId="0350743C" w14:textId="06A16DD5" w:rsidR="00BF1A91" w:rsidRPr="00BF1A91" w:rsidRDefault="00510B8F" w:rsidP="00BF1A91">
            <w:pPr>
              <w:jc w:val="center"/>
              <w:rPr>
                <w:b/>
              </w:rPr>
            </w:pPr>
            <w:r>
              <w:rPr>
                <w:b/>
              </w:rPr>
              <w:t>RESPONSIBLE PERSON</w:t>
            </w:r>
          </w:p>
        </w:tc>
        <w:tc>
          <w:tcPr>
            <w:tcW w:w="4932" w:type="dxa"/>
          </w:tcPr>
          <w:p w14:paraId="4087D1AD" w14:textId="6C6F7B11" w:rsidR="00BF1A91" w:rsidRPr="00BF1A91" w:rsidRDefault="00510B8F" w:rsidP="00BF1A91">
            <w:pPr>
              <w:jc w:val="center"/>
              <w:rPr>
                <w:b/>
              </w:rPr>
            </w:pPr>
            <w:r>
              <w:rPr>
                <w:b/>
              </w:rPr>
              <w:t>SUMMARY OF REVIEW</w:t>
            </w:r>
          </w:p>
        </w:tc>
      </w:tr>
      <w:tr w:rsidR="00BF1A91" w14:paraId="78A7718C" w14:textId="77777777" w:rsidTr="00510B8F">
        <w:trPr>
          <w:trHeight w:val="454"/>
        </w:trPr>
        <w:tc>
          <w:tcPr>
            <w:tcW w:w="2122" w:type="dxa"/>
            <w:vAlign w:val="center"/>
          </w:tcPr>
          <w:p w14:paraId="18F5EB17" w14:textId="0971E2DF" w:rsidR="00BF1A91" w:rsidRDefault="0017746A" w:rsidP="00BF1A91">
            <w:pPr>
              <w:jc w:val="center"/>
            </w:pPr>
            <w:r>
              <w:t>9</w:t>
            </w:r>
            <w:r w:rsidRPr="0017746A">
              <w:rPr>
                <w:vertAlign w:val="superscript"/>
              </w:rPr>
              <w:t>th</w:t>
            </w:r>
            <w:r>
              <w:t xml:space="preserve"> May 2018</w:t>
            </w:r>
          </w:p>
        </w:tc>
        <w:tc>
          <w:tcPr>
            <w:tcW w:w="3402" w:type="dxa"/>
            <w:vAlign w:val="center"/>
          </w:tcPr>
          <w:p w14:paraId="2D488488" w14:textId="767B98DF" w:rsidR="00BF1A91" w:rsidRDefault="00510B8F" w:rsidP="00BF1A91">
            <w:pPr>
              <w:jc w:val="center"/>
            </w:pPr>
            <w:r>
              <w:t>EDDIE HARRIS</w:t>
            </w:r>
          </w:p>
        </w:tc>
        <w:tc>
          <w:tcPr>
            <w:tcW w:w="4932" w:type="dxa"/>
            <w:vAlign w:val="center"/>
          </w:tcPr>
          <w:p w14:paraId="52113191" w14:textId="6DDB5920" w:rsidR="00BF1A91" w:rsidRDefault="00510B8F" w:rsidP="00BF1A91">
            <w:pPr>
              <w:jc w:val="center"/>
            </w:pPr>
            <w:r>
              <w:t>POLICY WRITTEN</w:t>
            </w:r>
            <w:r w:rsidR="0017746A">
              <w:t xml:space="preserve"> -</w:t>
            </w:r>
            <w:r>
              <w:t xml:space="preserve"> </w:t>
            </w:r>
            <w:r w:rsidR="00BF1A91">
              <w:t>VERSION 1</w:t>
            </w:r>
          </w:p>
        </w:tc>
      </w:tr>
      <w:tr w:rsidR="00BF1A91" w14:paraId="562B106D" w14:textId="77777777" w:rsidTr="00510B8F">
        <w:trPr>
          <w:trHeight w:val="454"/>
        </w:trPr>
        <w:tc>
          <w:tcPr>
            <w:tcW w:w="2122" w:type="dxa"/>
            <w:vAlign w:val="center"/>
          </w:tcPr>
          <w:p w14:paraId="4ABBFAF3" w14:textId="77777777" w:rsidR="00BF1A91" w:rsidRDefault="00BF1A91" w:rsidP="00BF1A91">
            <w:pPr>
              <w:jc w:val="center"/>
            </w:pPr>
          </w:p>
        </w:tc>
        <w:tc>
          <w:tcPr>
            <w:tcW w:w="3402" w:type="dxa"/>
            <w:vAlign w:val="center"/>
          </w:tcPr>
          <w:p w14:paraId="2897161E" w14:textId="77777777" w:rsidR="00BF1A91" w:rsidRDefault="00BF1A91" w:rsidP="00BF1A91">
            <w:pPr>
              <w:jc w:val="center"/>
            </w:pPr>
          </w:p>
        </w:tc>
        <w:tc>
          <w:tcPr>
            <w:tcW w:w="4932" w:type="dxa"/>
            <w:vAlign w:val="center"/>
          </w:tcPr>
          <w:p w14:paraId="47384E92" w14:textId="77777777" w:rsidR="00BF1A91" w:rsidRDefault="00BF1A91" w:rsidP="00BF1A91">
            <w:pPr>
              <w:jc w:val="center"/>
            </w:pPr>
          </w:p>
        </w:tc>
      </w:tr>
      <w:tr w:rsidR="00BF1A91" w14:paraId="4A22912D" w14:textId="77777777" w:rsidTr="00510B8F">
        <w:trPr>
          <w:trHeight w:val="454"/>
        </w:trPr>
        <w:tc>
          <w:tcPr>
            <w:tcW w:w="2122" w:type="dxa"/>
            <w:vAlign w:val="center"/>
          </w:tcPr>
          <w:p w14:paraId="4D221A30" w14:textId="77777777" w:rsidR="00BF1A91" w:rsidRDefault="00BF1A91" w:rsidP="00BF1A91">
            <w:pPr>
              <w:jc w:val="center"/>
            </w:pPr>
          </w:p>
        </w:tc>
        <w:tc>
          <w:tcPr>
            <w:tcW w:w="3402" w:type="dxa"/>
            <w:vAlign w:val="center"/>
          </w:tcPr>
          <w:p w14:paraId="30536F31" w14:textId="77777777" w:rsidR="00BF1A91" w:rsidRDefault="00BF1A91" w:rsidP="00BF1A91">
            <w:pPr>
              <w:jc w:val="center"/>
            </w:pPr>
          </w:p>
        </w:tc>
        <w:tc>
          <w:tcPr>
            <w:tcW w:w="4932" w:type="dxa"/>
            <w:vAlign w:val="center"/>
          </w:tcPr>
          <w:p w14:paraId="0BDD76C8" w14:textId="77777777" w:rsidR="00BF1A91" w:rsidRDefault="00BF1A91" w:rsidP="00BF1A91">
            <w:pPr>
              <w:jc w:val="center"/>
            </w:pPr>
          </w:p>
        </w:tc>
      </w:tr>
      <w:tr w:rsidR="00BF1A91" w14:paraId="1AA81241" w14:textId="77777777" w:rsidTr="00510B8F">
        <w:trPr>
          <w:trHeight w:val="454"/>
        </w:trPr>
        <w:tc>
          <w:tcPr>
            <w:tcW w:w="2122" w:type="dxa"/>
            <w:vAlign w:val="center"/>
          </w:tcPr>
          <w:p w14:paraId="75F3C2BD" w14:textId="77777777" w:rsidR="00BF1A91" w:rsidRDefault="00BF1A91" w:rsidP="00BF1A91">
            <w:pPr>
              <w:jc w:val="center"/>
            </w:pPr>
          </w:p>
        </w:tc>
        <w:tc>
          <w:tcPr>
            <w:tcW w:w="3402" w:type="dxa"/>
            <w:vAlign w:val="center"/>
          </w:tcPr>
          <w:p w14:paraId="2382B4E3" w14:textId="77777777" w:rsidR="00BF1A91" w:rsidRDefault="00BF1A91" w:rsidP="00BF1A91">
            <w:pPr>
              <w:jc w:val="center"/>
            </w:pPr>
          </w:p>
        </w:tc>
        <w:tc>
          <w:tcPr>
            <w:tcW w:w="4932" w:type="dxa"/>
            <w:vAlign w:val="center"/>
          </w:tcPr>
          <w:p w14:paraId="6862356A" w14:textId="77777777" w:rsidR="00BF1A91" w:rsidRDefault="00BF1A91" w:rsidP="00BF1A91">
            <w:pPr>
              <w:jc w:val="center"/>
            </w:pPr>
          </w:p>
        </w:tc>
      </w:tr>
      <w:tr w:rsidR="00BF1A91" w14:paraId="1C7BE241" w14:textId="77777777" w:rsidTr="00510B8F">
        <w:trPr>
          <w:trHeight w:val="454"/>
        </w:trPr>
        <w:tc>
          <w:tcPr>
            <w:tcW w:w="2122" w:type="dxa"/>
            <w:vAlign w:val="center"/>
          </w:tcPr>
          <w:p w14:paraId="6353AB4E" w14:textId="77777777" w:rsidR="00BF1A91" w:rsidRDefault="00BF1A91" w:rsidP="00BF1A91">
            <w:pPr>
              <w:jc w:val="center"/>
            </w:pPr>
          </w:p>
        </w:tc>
        <w:tc>
          <w:tcPr>
            <w:tcW w:w="3402" w:type="dxa"/>
            <w:vAlign w:val="center"/>
          </w:tcPr>
          <w:p w14:paraId="1BDFC74C" w14:textId="77777777" w:rsidR="00BF1A91" w:rsidRDefault="00BF1A91" w:rsidP="00BF1A91">
            <w:pPr>
              <w:jc w:val="center"/>
            </w:pPr>
          </w:p>
        </w:tc>
        <w:tc>
          <w:tcPr>
            <w:tcW w:w="4932" w:type="dxa"/>
            <w:vAlign w:val="center"/>
          </w:tcPr>
          <w:p w14:paraId="72ED8107" w14:textId="77777777" w:rsidR="00BF1A91" w:rsidRDefault="00BF1A91" w:rsidP="00BF1A91">
            <w:pPr>
              <w:jc w:val="center"/>
            </w:pPr>
          </w:p>
        </w:tc>
      </w:tr>
      <w:tr w:rsidR="00BF1A91" w14:paraId="0069D725" w14:textId="77777777" w:rsidTr="00510B8F">
        <w:trPr>
          <w:trHeight w:val="454"/>
        </w:trPr>
        <w:tc>
          <w:tcPr>
            <w:tcW w:w="2122" w:type="dxa"/>
            <w:vAlign w:val="center"/>
          </w:tcPr>
          <w:p w14:paraId="2B283FDE" w14:textId="77777777" w:rsidR="00BF1A91" w:rsidRDefault="00BF1A91" w:rsidP="00BF1A91">
            <w:pPr>
              <w:jc w:val="center"/>
            </w:pPr>
          </w:p>
        </w:tc>
        <w:tc>
          <w:tcPr>
            <w:tcW w:w="3402" w:type="dxa"/>
            <w:vAlign w:val="center"/>
          </w:tcPr>
          <w:p w14:paraId="4226FD4B" w14:textId="77777777" w:rsidR="00BF1A91" w:rsidRDefault="00BF1A91" w:rsidP="00BF1A91">
            <w:pPr>
              <w:jc w:val="center"/>
            </w:pPr>
          </w:p>
        </w:tc>
        <w:tc>
          <w:tcPr>
            <w:tcW w:w="4932" w:type="dxa"/>
            <w:vAlign w:val="center"/>
          </w:tcPr>
          <w:p w14:paraId="6CCFF152" w14:textId="77777777" w:rsidR="00BF1A91" w:rsidRDefault="00BF1A91" w:rsidP="00BF1A91">
            <w:pPr>
              <w:jc w:val="center"/>
            </w:pPr>
          </w:p>
        </w:tc>
      </w:tr>
      <w:tr w:rsidR="00BF1A91" w14:paraId="4DB2EC2D" w14:textId="77777777" w:rsidTr="00510B8F">
        <w:trPr>
          <w:trHeight w:val="454"/>
        </w:trPr>
        <w:tc>
          <w:tcPr>
            <w:tcW w:w="2122" w:type="dxa"/>
            <w:vAlign w:val="center"/>
          </w:tcPr>
          <w:p w14:paraId="776F5FC2" w14:textId="77777777" w:rsidR="00BF1A91" w:rsidRDefault="00BF1A91" w:rsidP="00BF1A91">
            <w:pPr>
              <w:jc w:val="center"/>
            </w:pPr>
          </w:p>
        </w:tc>
        <w:tc>
          <w:tcPr>
            <w:tcW w:w="3402" w:type="dxa"/>
            <w:vAlign w:val="center"/>
          </w:tcPr>
          <w:p w14:paraId="06B993F6" w14:textId="77777777" w:rsidR="00BF1A91" w:rsidRDefault="00BF1A91" w:rsidP="00BF1A91">
            <w:pPr>
              <w:jc w:val="center"/>
            </w:pPr>
          </w:p>
        </w:tc>
        <w:tc>
          <w:tcPr>
            <w:tcW w:w="4932" w:type="dxa"/>
            <w:vAlign w:val="center"/>
          </w:tcPr>
          <w:p w14:paraId="186DF73F" w14:textId="77777777" w:rsidR="00BF1A91" w:rsidRDefault="00BF1A91" w:rsidP="00BF1A91">
            <w:pPr>
              <w:jc w:val="center"/>
            </w:pPr>
          </w:p>
        </w:tc>
      </w:tr>
    </w:tbl>
    <w:p w14:paraId="0A78051A" w14:textId="261E3B7D" w:rsidR="00B42553" w:rsidRDefault="00B42553" w:rsidP="00BF1A91">
      <w:pPr>
        <w:spacing w:after="0"/>
        <w:jc w:val="both"/>
      </w:pPr>
    </w:p>
    <w:p w14:paraId="70DCFA22" w14:textId="6874CE61" w:rsidR="00BF1A91" w:rsidRDefault="00BF1A91" w:rsidP="00BF1A91">
      <w:pPr>
        <w:spacing w:after="0"/>
        <w:jc w:val="both"/>
      </w:pPr>
    </w:p>
    <w:p w14:paraId="641E4BF5" w14:textId="7954E558" w:rsidR="00BF1A91" w:rsidRDefault="00BF1A91" w:rsidP="00BF1A91">
      <w:pPr>
        <w:spacing w:after="0"/>
        <w:jc w:val="both"/>
      </w:pPr>
    </w:p>
    <w:p w14:paraId="48EF5E06" w14:textId="21F6EC2A" w:rsidR="00BF1A91" w:rsidRDefault="00BF1A91" w:rsidP="00BF1A91">
      <w:pPr>
        <w:spacing w:after="0"/>
        <w:jc w:val="both"/>
      </w:pPr>
    </w:p>
    <w:p w14:paraId="18CED4E3" w14:textId="0D310B0A" w:rsidR="00BF1A91" w:rsidRDefault="0017746A" w:rsidP="00BF1A91">
      <w:pPr>
        <w:spacing w:after="0"/>
        <w:jc w:val="both"/>
      </w:pPr>
      <w:r>
        <w:rPr>
          <w:noProof/>
        </w:rPr>
        <w:drawing>
          <wp:inline distT="0" distB="0" distL="0" distR="0" wp14:anchorId="27441E41" wp14:editId="492AE21B">
            <wp:extent cx="1115695" cy="5486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548640"/>
                    </a:xfrm>
                    <a:prstGeom prst="rect">
                      <a:avLst/>
                    </a:prstGeom>
                    <a:noFill/>
                  </pic:spPr>
                </pic:pic>
              </a:graphicData>
            </a:graphic>
          </wp:inline>
        </w:drawing>
      </w:r>
    </w:p>
    <w:p w14:paraId="217E763A" w14:textId="77777777" w:rsidR="00510B8F" w:rsidRDefault="00510B8F" w:rsidP="00BF1A91">
      <w:pPr>
        <w:spacing w:after="0"/>
        <w:jc w:val="both"/>
      </w:pPr>
    </w:p>
    <w:p w14:paraId="1C0A7B69" w14:textId="2F4DDACA" w:rsidR="00BF1A91" w:rsidRDefault="00510B8F" w:rsidP="00BF1A91">
      <w:pPr>
        <w:spacing w:after="0"/>
        <w:jc w:val="both"/>
      </w:pPr>
      <w:r>
        <w:t>Eddie Harris</w:t>
      </w:r>
    </w:p>
    <w:p w14:paraId="6FEECAFB" w14:textId="7B834E86" w:rsidR="00510B8F" w:rsidRDefault="00510B8F" w:rsidP="00BF1A91">
      <w:pPr>
        <w:spacing w:after="0"/>
        <w:jc w:val="both"/>
      </w:pPr>
      <w:r>
        <w:t>Compliance Manager</w:t>
      </w:r>
    </w:p>
    <w:p w14:paraId="776871FF" w14:textId="142B4414" w:rsidR="0017746A" w:rsidRDefault="00510B8F" w:rsidP="00BF1A91">
      <w:pPr>
        <w:spacing w:after="0"/>
        <w:jc w:val="both"/>
      </w:pPr>
      <w:r>
        <w:t>Dated</w:t>
      </w:r>
      <w:r w:rsidR="0017746A">
        <w:t xml:space="preserve"> 9</w:t>
      </w:r>
      <w:r w:rsidR="0017746A" w:rsidRPr="0017746A">
        <w:rPr>
          <w:vertAlign w:val="superscript"/>
        </w:rPr>
        <w:t>th</w:t>
      </w:r>
      <w:r w:rsidR="0017746A">
        <w:t xml:space="preserve"> May 2018</w:t>
      </w:r>
    </w:p>
    <w:p w14:paraId="0928BA81" w14:textId="77777777" w:rsidR="0017746A" w:rsidRPr="0017746A" w:rsidRDefault="0017746A" w:rsidP="0017746A"/>
    <w:p w14:paraId="4021A2CD" w14:textId="77777777" w:rsidR="0017746A" w:rsidRPr="0017746A" w:rsidRDefault="0017746A" w:rsidP="0017746A"/>
    <w:p w14:paraId="00447799" w14:textId="77777777" w:rsidR="0017746A" w:rsidRPr="0017746A" w:rsidRDefault="0017746A" w:rsidP="0017746A"/>
    <w:p w14:paraId="5ADF799F" w14:textId="5DACDF81" w:rsidR="00510B8F" w:rsidRPr="0017746A" w:rsidRDefault="0017746A" w:rsidP="0017746A">
      <w:pPr>
        <w:tabs>
          <w:tab w:val="left" w:pos="3315"/>
        </w:tabs>
      </w:pPr>
      <w:r>
        <w:tab/>
      </w:r>
    </w:p>
    <w:sectPr w:rsidR="00510B8F" w:rsidRPr="0017746A" w:rsidSect="00B4255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62825" w14:textId="77777777" w:rsidR="000172E2" w:rsidRDefault="000172E2" w:rsidP="00E115F9">
      <w:pPr>
        <w:spacing w:after="0" w:line="240" w:lineRule="auto"/>
      </w:pPr>
      <w:r>
        <w:separator/>
      </w:r>
    </w:p>
  </w:endnote>
  <w:endnote w:type="continuationSeparator" w:id="0">
    <w:p w14:paraId="49918B38" w14:textId="77777777" w:rsidR="000172E2" w:rsidRDefault="000172E2" w:rsidP="00E1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D9F6" w14:textId="439F996D" w:rsidR="00E115F9" w:rsidRDefault="00BF1A91">
    <w:pPr>
      <w:pStyle w:val="Footer"/>
    </w:pPr>
    <w:r w:rsidRPr="00BF1A91">
      <w:t xml:space="preserve">Author: Eddie Harris    Date: </w:t>
    </w:r>
    <w:r w:rsidR="0017746A">
      <w:t>9 May</w:t>
    </w:r>
    <w:r w:rsidRPr="00BF1A91">
      <w:t xml:space="preserve"> 2018</w:t>
    </w:r>
    <w:r>
      <w:tab/>
      <w:t xml:space="preserve">                                                                                  </w:t>
    </w:r>
    <w:r w:rsidRPr="00BF1A91">
      <w:t>KMS GDPR POLICY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0C6A" w14:textId="77777777" w:rsidR="000172E2" w:rsidRDefault="000172E2" w:rsidP="00E115F9">
      <w:pPr>
        <w:spacing w:after="0" w:line="240" w:lineRule="auto"/>
      </w:pPr>
      <w:r>
        <w:separator/>
      </w:r>
    </w:p>
  </w:footnote>
  <w:footnote w:type="continuationSeparator" w:id="0">
    <w:p w14:paraId="1E426AC2" w14:textId="77777777" w:rsidR="000172E2" w:rsidRDefault="000172E2" w:rsidP="00E11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E136F"/>
    <w:multiLevelType w:val="hybridMultilevel"/>
    <w:tmpl w:val="5A749B82"/>
    <w:lvl w:ilvl="0" w:tplc="77905B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CA7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FCF4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3076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E4E8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EA78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2DF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E82A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086B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165CA2"/>
    <w:multiLevelType w:val="hybridMultilevel"/>
    <w:tmpl w:val="0A32A5E8"/>
    <w:lvl w:ilvl="0" w:tplc="424243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B02D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AC3C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4EAA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F689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0AB0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DE18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A67B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9E73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53"/>
    <w:rsid w:val="000172E2"/>
    <w:rsid w:val="00052FDD"/>
    <w:rsid w:val="0011658A"/>
    <w:rsid w:val="0017746A"/>
    <w:rsid w:val="001E6DA3"/>
    <w:rsid w:val="00275863"/>
    <w:rsid w:val="00291EE6"/>
    <w:rsid w:val="00387B46"/>
    <w:rsid w:val="00510B8F"/>
    <w:rsid w:val="00832E94"/>
    <w:rsid w:val="00B42553"/>
    <w:rsid w:val="00BF09D7"/>
    <w:rsid w:val="00BF1A91"/>
    <w:rsid w:val="00E115F9"/>
    <w:rsid w:val="00F6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00F1"/>
  <w15:chartTrackingRefBased/>
  <w15:docId w15:val="{972DC46E-FDA6-4B35-B029-D839D2F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5F9"/>
  </w:style>
  <w:style w:type="paragraph" w:styleId="Footer">
    <w:name w:val="footer"/>
    <w:basedOn w:val="Normal"/>
    <w:link w:val="FooterChar"/>
    <w:uiPriority w:val="99"/>
    <w:unhideWhenUsed/>
    <w:rsid w:val="00E1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5F9"/>
  </w:style>
  <w:style w:type="table" w:styleId="TableGrid">
    <w:name w:val="Table Grid"/>
    <w:basedOn w:val="TableNormal"/>
    <w:uiPriority w:val="39"/>
    <w:rsid w:val="00BF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Eddie</cp:lastModifiedBy>
  <cp:revision>7</cp:revision>
  <cp:lastPrinted>2018-04-12T10:53:00Z</cp:lastPrinted>
  <dcterms:created xsi:type="dcterms:W3CDTF">2018-04-12T10:17:00Z</dcterms:created>
  <dcterms:modified xsi:type="dcterms:W3CDTF">2018-05-09T09:03:00Z</dcterms:modified>
</cp:coreProperties>
</file>